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r w:rsidR="000C059F" w:rsidRPr="000C059F">
        <w:rPr>
          <w:rFonts w:ascii="Times New Roman" w:hAnsi="Times New Roman"/>
          <w:bCs/>
          <w:color w:val="000000"/>
          <w:sz w:val="28"/>
          <w:szCs w:val="28"/>
        </w:rPr>
        <w:t>Основы государственной политики в сфере межэтнических и межконфессиональных отношений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0C059F" w:rsidRDefault="00B1215E" w:rsidP="000C059F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0C059F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</w:p>
    <w:p w:rsidR="000C059F" w:rsidRDefault="000C059F" w:rsidP="000C059F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 w:rsidP="000C059F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 w:rsidP="000C059F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 w:rsidP="000C059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  <w:proofErr w:type="gramEnd"/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905534" w:rsidRDefault="00905534" w:rsidP="00905534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«Основы государственной политики в сфере межэтнических и ме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ж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конфесси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A3B05">
        <w:rPr>
          <w:rFonts w:ascii="Times New Roman" w:hAnsi="Times New Roman"/>
          <w:b/>
          <w:bCs/>
          <w:color w:val="000000"/>
          <w:sz w:val="28"/>
          <w:szCs w:val="28"/>
        </w:rPr>
        <w:t>нальных отношений»</w:t>
      </w:r>
    </w:p>
    <w:p w:rsidR="00863ABF" w:rsidRPr="003A3B05" w:rsidRDefault="00863ABF" w:rsidP="00905534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 xml:space="preserve">Понятия этнос, нация, народ, население (проблема терминологии). Межэтнические контакты и их результаты. Понятие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конфессии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Основные факторы межэтнических взаимодействий. Межэтнич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ская ассимиляция. Межэтническая интеграция. Основные формы межэ</w:t>
      </w:r>
      <w:r w:rsidRPr="000C059F">
        <w:rPr>
          <w:rFonts w:ascii="Times New Roman" w:hAnsi="Times New Roman"/>
          <w:color w:val="000000"/>
          <w:sz w:val="28"/>
          <w:szCs w:val="28"/>
        </w:rPr>
        <w:t>т</w:t>
      </w:r>
      <w:r w:rsidRPr="000C059F">
        <w:rPr>
          <w:rFonts w:ascii="Times New Roman" w:hAnsi="Times New Roman"/>
          <w:color w:val="000000"/>
          <w:sz w:val="28"/>
          <w:szCs w:val="28"/>
        </w:rPr>
        <w:t>нических взаимодействий: геноцид, апартеид, сегрегация, дискримин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ция.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История формирования многонационального государства в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 xml:space="preserve">Федеративное и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этнонациональное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разнообразие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Межкультурная и межконфессиональная коммуникации в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6.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Численность населения России. Воспроизводство населения, дем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графия, миграционные процессы.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7.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Этнокультурное разнообразие. География расселения народов 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8.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Основные языковые семьи народов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9.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Этапы становления государственной национальной политики в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10.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Конституционные основы государственной национальной полит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ки.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Нормативно-правовые акты, касающиеся межнациональных отн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шений.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«Стратегия государственной национальной политики Российской Федерации». Приоритеты государственной национальной политики 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сийской Федерации.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Функционирование государственных институтов в сфере межэтн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ческих отношений.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Субъекты национальной политики.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Национально-культурные и межнациональные общественные объ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динения.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16.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Федеральное агентство по делам национальностей. Цели и задачи ФАДН.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>17.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Система мониторинга межэтнических отношений. Основные задачи системы мониторинга.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18.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Сохранение этнокультурного многообразия населения в контексте Российской национальной политики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19.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Укрепление общероссийской гражданской идентичности на основе духовно- нравственных и культурных ценностей народов РФ: роль обр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зования.</w:t>
      </w:r>
    </w:p>
    <w:p w:rsid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20.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Значение гуманитарных и исторических знаний для гармонизации межэтнических отношений в России</w:t>
      </w:r>
    </w:p>
    <w:p w:rsid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sz w:val="28"/>
          <w:szCs w:val="28"/>
        </w:rPr>
      </w:pPr>
      <w:r w:rsidRPr="00905534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>1. Отражение темы этнокультурного разнообразия России в Констит</w:t>
      </w:r>
      <w:r w:rsidRPr="00905534">
        <w:rPr>
          <w:rFonts w:asciiTheme="majorHAnsi" w:hAnsiTheme="majorHAnsi" w:cstheme="majorHAnsi"/>
          <w:sz w:val="28"/>
          <w:szCs w:val="28"/>
        </w:rPr>
        <w:t>у</w:t>
      </w:r>
      <w:r w:rsidRPr="00905534">
        <w:rPr>
          <w:rFonts w:asciiTheme="majorHAnsi" w:hAnsiTheme="majorHAnsi" w:cstheme="majorHAnsi"/>
          <w:sz w:val="28"/>
          <w:szCs w:val="28"/>
        </w:rPr>
        <w:t xml:space="preserve">ции РФ. </w:t>
      </w:r>
    </w:p>
    <w:p w:rsid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905534">
        <w:rPr>
          <w:rFonts w:asciiTheme="majorHAnsi" w:hAnsiTheme="majorHAnsi" w:cstheme="majorHAnsi"/>
          <w:sz w:val="28"/>
          <w:szCs w:val="28"/>
        </w:rPr>
        <w:t>2</w:t>
      </w: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>. Основные положения Стратегии государственной национальной п</w:t>
      </w:r>
      <w:r w:rsidRPr="00905534">
        <w:rPr>
          <w:rFonts w:asciiTheme="majorHAnsi" w:hAnsiTheme="majorHAnsi" w:cstheme="majorHAnsi"/>
          <w:sz w:val="28"/>
          <w:szCs w:val="28"/>
        </w:rPr>
        <w:t>о</w:t>
      </w:r>
      <w:r w:rsidRPr="00905534">
        <w:rPr>
          <w:rFonts w:asciiTheme="majorHAnsi" w:hAnsiTheme="majorHAnsi" w:cstheme="majorHAnsi"/>
          <w:sz w:val="28"/>
          <w:szCs w:val="28"/>
        </w:rPr>
        <w:t xml:space="preserve">литики РФ на период до 2025 года. </w:t>
      </w:r>
    </w:p>
    <w:p w:rsid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 xml:space="preserve">3. Региональные стратегии национальной политики на примере города Москвы. </w:t>
      </w:r>
    </w:p>
    <w:p w:rsid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>4. Региональные стратегии национальной политики на примере Чече</w:t>
      </w:r>
      <w:r w:rsidRPr="00905534">
        <w:rPr>
          <w:rFonts w:asciiTheme="majorHAnsi" w:hAnsiTheme="majorHAnsi" w:cstheme="majorHAnsi"/>
          <w:sz w:val="28"/>
          <w:szCs w:val="28"/>
        </w:rPr>
        <w:t>н</w:t>
      </w:r>
      <w:r w:rsidRPr="00905534">
        <w:rPr>
          <w:rFonts w:asciiTheme="majorHAnsi" w:hAnsiTheme="majorHAnsi" w:cstheme="majorHAnsi"/>
          <w:sz w:val="28"/>
          <w:szCs w:val="28"/>
        </w:rPr>
        <w:t xml:space="preserve">ской Республики. </w:t>
      </w:r>
    </w:p>
    <w:p w:rsid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 xml:space="preserve">5. Региональные стратегии национальной политики на примере города </w:t>
      </w:r>
      <w:r>
        <w:rPr>
          <w:rFonts w:asciiTheme="majorHAnsi" w:hAnsiTheme="majorHAnsi" w:cstheme="majorHAnsi"/>
          <w:sz w:val="28"/>
          <w:szCs w:val="28"/>
        </w:rPr>
        <w:t>Ростова на Дону</w:t>
      </w:r>
      <w:r w:rsidRPr="00905534">
        <w:rPr>
          <w:rFonts w:asciiTheme="majorHAnsi" w:hAnsiTheme="majorHAnsi" w:cstheme="majorHAnsi"/>
          <w:sz w:val="28"/>
          <w:szCs w:val="28"/>
        </w:rPr>
        <w:t xml:space="preserve">. </w:t>
      </w:r>
    </w:p>
    <w:p w:rsidR="00905534" w:rsidRPr="00905534" w:rsidRDefault="00905534" w:rsidP="000C059F">
      <w:pPr>
        <w:pStyle w:val="a3"/>
        <w:spacing w:line="312" w:lineRule="auto"/>
        <w:ind w:firstLine="0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</w:t>
      </w:r>
      <w:r w:rsidRPr="00905534">
        <w:rPr>
          <w:rFonts w:asciiTheme="majorHAnsi" w:hAnsiTheme="majorHAnsi" w:cstheme="majorHAnsi"/>
          <w:sz w:val="28"/>
          <w:szCs w:val="28"/>
        </w:rPr>
        <w:t>6. Региональные стратегии национальной политики на примере Новос</w:t>
      </w:r>
      <w:r w:rsidRPr="00905534">
        <w:rPr>
          <w:rFonts w:asciiTheme="majorHAnsi" w:hAnsiTheme="majorHAnsi" w:cstheme="majorHAnsi"/>
          <w:sz w:val="28"/>
          <w:szCs w:val="28"/>
        </w:rPr>
        <w:t>и</w:t>
      </w:r>
      <w:r w:rsidRPr="00905534">
        <w:rPr>
          <w:rFonts w:asciiTheme="majorHAnsi" w:hAnsiTheme="majorHAnsi" w:cstheme="majorHAnsi"/>
          <w:sz w:val="28"/>
          <w:szCs w:val="28"/>
        </w:rPr>
        <w:t>бирской области. 7. Отражение тематики этнокультурного разнообразия России в Стратегии национальной безопасности Росси</w:t>
      </w:r>
      <w:r w:rsidRPr="00905534">
        <w:rPr>
          <w:rFonts w:asciiTheme="majorHAnsi" w:hAnsiTheme="majorHAnsi" w:cstheme="majorHAnsi"/>
          <w:sz w:val="28"/>
          <w:szCs w:val="28"/>
        </w:rPr>
        <w:t>й</w:t>
      </w:r>
      <w:r w:rsidRPr="00905534">
        <w:rPr>
          <w:rFonts w:asciiTheme="majorHAnsi" w:hAnsiTheme="majorHAnsi" w:cstheme="majorHAnsi"/>
          <w:sz w:val="28"/>
          <w:szCs w:val="28"/>
        </w:rPr>
        <w:t>ской Федерации. 8. Вопросы формирования единой российской нации в Стратегии наци</w:t>
      </w:r>
      <w:r w:rsidRPr="00905534">
        <w:rPr>
          <w:rFonts w:asciiTheme="majorHAnsi" w:hAnsiTheme="majorHAnsi" w:cstheme="majorHAnsi"/>
          <w:sz w:val="28"/>
          <w:szCs w:val="28"/>
        </w:rPr>
        <w:t>о</w:t>
      </w:r>
      <w:r w:rsidRPr="00905534">
        <w:rPr>
          <w:rFonts w:asciiTheme="majorHAnsi" w:hAnsiTheme="majorHAnsi" w:cstheme="majorHAnsi"/>
          <w:sz w:val="28"/>
          <w:szCs w:val="28"/>
        </w:rPr>
        <w:t>нальной безопасности Российской Федерации. 9. Отражение вопросов межэтнического взаимодействия в Стратегии развития воспитания в РФ на период до 2025 года. 10. Отражение вопросов ме</w:t>
      </w:r>
      <w:r w:rsidRPr="00905534">
        <w:rPr>
          <w:rFonts w:asciiTheme="majorHAnsi" w:hAnsiTheme="majorHAnsi" w:cstheme="majorHAnsi"/>
          <w:sz w:val="28"/>
          <w:szCs w:val="28"/>
        </w:rPr>
        <w:t>ж</w:t>
      </w:r>
      <w:r w:rsidRPr="00905534">
        <w:rPr>
          <w:rFonts w:asciiTheme="majorHAnsi" w:hAnsiTheme="majorHAnsi" w:cstheme="majorHAnsi"/>
          <w:sz w:val="28"/>
          <w:szCs w:val="28"/>
        </w:rPr>
        <w:t>конфессионального взаимодействия в Стратегии развития воспитания в РФ на период до 2025 года. 11. Отражение вопросов межкультурного взаимодействия в Законе «Об образовании в РФ». 12. Указ «О национальных целях развития Ро</w:t>
      </w:r>
      <w:r w:rsidRPr="00905534">
        <w:rPr>
          <w:rFonts w:asciiTheme="majorHAnsi" w:hAnsiTheme="majorHAnsi" w:cstheme="majorHAnsi"/>
          <w:sz w:val="28"/>
          <w:szCs w:val="28"/>
        </w:rPr>
        <w:t>с</w:t>
      </w:r>
      <w:r w:rsidRPr="00905534">
        <w:rPr>
          <w:rFonts w:asciiTheme="majorHAnsi" w:hAnsiTheme="majorHAnsi" w:cstheme="majorHAnsi"/>
          <w:sz w:val="28"/>
          <w:szCs w:val="28"/>
        </w:rPr>
        <w:t xml:space="preserve">сии до 2030 года» и его связь </w:t>
      </w:r>
      <w:proofErr w:type="gramStart"/>
      <w:r w:rsidRPr="00905534">
        <w:rPr>
          <w:rFonts w:asciiTheme="majorHAnsi" w:hAnsiTheme="majorHAnsi" w:cstheme="majorHAnsi"/>
          <w:sz w:val="28"/>
          <w:szCs w:val="28"/>
        </w:rPr>
        <w:t>с</w:t>
      </w:r>
      <w:proofErr w:type="gramEnd"/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Примерные задания к промежуточной аттестации: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 xml:space="preserve">Задание 1. Проанализируйте изображение. 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Представители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каких религий представлены на фотографии? Объясните, почему в светской России де</w:t>
      </w:r>
      <w:r w:rsidRPr="000C059F">
        <w:rPr>
          <w:rFonts w:ascii="Times New Roman" w:hAnsi="Times New Roman"/>
          <w:color w:val="000000"/>
          <w:sz w:val="28"/>
          <w:szCs w:val="28"/>
        </w:rPr>
        <w:t>й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ствует Совет по делам религий при Президенте РФ? Аргументируйте, можно ли назвать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многоконфессиональность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– базовой характеристикой российской цивилизации?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Задание 2. Прочитайте фрагмент программной статьи В.В. Путина «Ро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сия: национальный вопрос» (Независимая газета, 23.01.2012) и ответьте на вопросы, которые расположены после текста. «Мы видим, что прои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ходит в мире, какие здесь копятся серьезнейшие риски. Реальность сег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дняшнего дня – рост межэтнической и межконфессиональной напряже</w:t>
      </w:r>
      <w:r w:rsidRPr="000C059F">
        <w:rPr>
          <w:rFonts w:ascii="Times New Roman" w:hAnsi="Times New Roman"/>
          <w:color w:val="000000"/>
          <w:sz w:val="28"/>
          <w:szCs w:val="28"/>
        </w:rPr>
        <w:t>н</w:t>
      </w:r>
      <w:r w:rsidRPr="000C059F">
        <w:rPr>
          <w:rFonts w:ascii="Times New Roman" w:hAnsi="Times New Roman"/>
          <w:color w:val="000000"/>
          <w:sz w:val="28"/>
          <w:szCs w:val="28"/>
        </w:rPr>
        <w:t>ности. Национализм, религиозная нетерпимость становятся идеологич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ской базой для самых радикальных группировок и течений. Разрушают, подтачивают государства и разделяют общества. Колоссальные миграц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онные потоки – а есть все основания полагать, что они будут усиливат</w:t>
      </w:r>
      <w:r w:rsidRPr="000C059F">
        <w:rPr>
          <w:rFonts w:ascii="Times New Roman" w:hAnsi="Times New Roman"/>
          <w:color w:val="000000"/>
          <w:sz w:val="28"/>
          <w:szCs w:val="28"/>
        </w:rPr>
        <w:t>ь</w:t>
      </w:r>
      <w:r w:rsidRPr="000C059F">
        <w:rPr>
          <w:rFonts w:ascii="Times New Roman" w:hAnsi="Times New Roman"/>
          <w:color w:val="000000"/>
          <w:sz w:val="28"/>
          <w:szCs w:val="28"/>
        </w:rPr>
        <w:t>ся, – уже называют новым «великим переселением народов», способным изменить привычный уклад и облик целых континентов. Миллионы л</w:t>
      </w:r>
      <w:r w:rsidRPr="000C059F">
        <w:rPr>
          <w:rFonts w:ascii="Times New Roman" w:hAnsi="Times New Roman"/>
          <w:color w:val="000000"/>
          <w:sz w:val="28"/>
          <w:szCs w:val="28"/>
        </w:rPr>
        <w:t>ю</w:t>
      </w:r>
      <w:r w:rsidRPr="000C059F">
        <w:rPr>
          <w:rFonts w:ascii="Times New Roman" w:hAnsi="Times New Roman"/>
          <w:color w:val="000000"/>
          <w:sz w:val="28"/>
          <w:szCs w:val="28"/>
        </w:rPr>
        <w:t>дей в поисках лучшей жизни покидают регионы, страдающие от голода и хронических конфликтов, бедности и социальной неустроенности. С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«обострением национального вопроса» вплотную столкнулись самые ра</w:t>
      </w:r>
      <w:r w:rsidRPr="000C059F">
        <w:rPr>
          <w:rFonts w:ascii="Times New Roman" w:hAnsi="Times New Roman"/>
          <w:color w:val="000000"/>
          <w:sz w:val="28"/>
          <w:szCs w:val="28"/>
        </w:rPr>
        <w:t>з</w:t>
      </w:r>
      <w:r w:rsidRPr="000C059F">
        <w:rPr>
          <w:rFonts w:ascii="Times New Roman" w:hAnsi="Times New Roman"/>
          <w:color w:val="000000"/>
          <w:sz w:val="28"/>
          <w:szCs w:val="28"/>
        </w:rPr>
        <w:t>витые и благополучные страны, которые прежде гордились своей тол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рантностью. А сегодня – друг за другом объявляют о провале попыток интегрировать в общество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инокультурный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элемент, обеспечить неко</w:t>
      </w:r>
      <w:r w:rsidRPr="000C059F">
        <w:rPr>
          <w:rFonts w:ascii="Times New Roman" w:hAnsi="Times New Roman"/>
          <w:color w:val="000000"/>
          <w:sz w:val="28"/>
          <w:szCs w:val="28"/>
        </w:rPr>
        <w:t>н</w:t>
      </w:r>
      <w:r w:rsidRPr="000C059F">
        <w:rPr>
          <w:rFonts w:ascii="Times New Roman" w:hAnsi="Times New Roman"/>
          <w:color w:val="000000"/>
          <w:sz w:val="28"/>
          <w:szCs w:val="28"/>
        </w:rPr>
        <w:t>фликтное, гармоничное взаимодействие различных культур, религий, э</w:t>
      </w:r>
      <w:r w:rsidRPr="000C059F">
        <w:rPr>
          <w:rFonts w:ascii="Times New Roman" w:hAnsi="Times New Roman"/>
          <w:color w:val="000000"/>
          <w:sz w:val="28"/>
          <w:szCs w:val="28"/>
        </w:rPr>
        <w:t>т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нических групп. «Плавильный котел» ассимиляции 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барахлит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и чадит – и не способен «переварить» все возрастающий масштабный миграционный поток. Отражением этого в политике стал «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мультикультурализм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», отр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цающий интеграцию через ассимиляцию. Он возводит в абсолют «право меньшинства на отличие» и при этом недостаточно уравновешивает это право – гражданскими, поведенческими и культурными обязанностями по отношению к коренному населению и обществу в целом. Во многих стр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нах складываются замкнутые национально-религиозные общины, кот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рые не только ассимилироваться, но даже и адаптироваться отказываю</w:t>
      </w:r>
      <w:r w:rsidRPr="000C059F">
        <w:rPr>
          <w:rFonts w:ascii="Times New Roman" w:hAnsi="Times New Roman"/>
          <w:color w:val="000000"/>
          <w:sz w:val="28"/>
          <w:szCs w:val="28"/>
        </w:rPr>
        <w:t>т</w:t>
      </w:r>
      <w:r w:rsidRPr="000C059F">
        <w:rPr>
          <w:rFonts w:ascii="Times New Roman" w:hAnsi="Times New Roman"/>
          <w:color w:val="000000"/>
          <w:sz w:val="28"/>
          <w:szCs w:val="28"/>
        </w:rPr>
        <w:t>ся. Известны кварталы и целые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города, где уже поколения приезжих живут на социальные пособия и не говорят на языке страны 8 пребывания. Ответная реакция на такую м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дель поведения – рост ксенофобии среди местного коренного населения, попытка жестко защитить свои интересы, рабочие места, социальные бл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га – от «чужеродных конкурентов». Люди шокированы агрессивным да</w:t>
      </w:r>
      <w:r w:rsidRPr="000C059F">
        <w:rPr>
          <w:rFonts w:ascii="Times New Roman" w:hAnsi="Times New Roman"/>
          <w:color w:val="000000"/>
          <w:sz w:val="28"/>
          <w:szCs w:val="28"/>
        </w:rPr>
        <w:t>в</w:t>
      </w:r>
      <w:r w:rsidRPr="000C059F">
        <w:rPr>
          <w:rFonts w:ascii="Times New Roman" w:hAnsi="Times New Roman"/>
          <w:color w:val="000000"/>
          <w:sz w:val="28"/>
          <w:szCs w:val="28"/>
        </w:rPr>
        <w:t>лением на свои традиции, привычный жизненный уклад и всерьез опас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ются угрозы утратить национально-государственную идентичность».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Источник: Владимир Путин. Россия: национальный вопрос // Независ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мая газета. 23.01.2012. [Электронный ресурс]. URL: http://www.ng.ru/politics/2012-01- 23/1_national.html</w:t>
      </w:r>
    </w:p>
    <w:p w:rsid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Вопросы: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О каких рисках и угрозах говорит В.В. Путин в своей статье?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Говоря о рисках, какие факты и примеры приводит автор?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Задание 3. Прочитайте фрагмент программной статьи В.В. Путина «Ро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сия: национальный вопрос» (Независимая газета, 23.01.2012) и ответьте на вопросы, которые расположены после текста. «Историческая Россия – не этническое государство и не 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американский</w:t>
      </w:r>
      <w:proofErr w:type="gramEnd"/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«плавильный котел», где, в общем-то, 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все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так или иначе – мигранты. 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сия возникла и веками развивалась как многонациональное государство. 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Государство, в котором постоянно шел процесс взаимного привыкания, взаимного проникновения, смешивания народов на семейном, на друж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ском, на служебном уровне.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Сотен этносов, живущих на своей земле вм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сте и рядом с русскими. Освоение огромных территорий, наполнявшее всю историю России, было совместным делом многих народов. Дост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точно сказать, что этнические украинцы живут на пространстве от Карпат до Камчатки. Как и этнические татары, евреи, белорусы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 xml:space="preserve">. [ ] 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>Российский опыт государственного развития уникален. Мы многонациональное о</w:t>
      </w:r>
      <w:r w:rsidRPr="000C059F">
        <w:rPr>
          <w:rFonts w:ascii="Times New Roman" w:hAnsi="Times New Roman"/>
          <w:color w:val="000000"/>
          <w:sz w:val="28"/>
          <w:szCs w:val="28"/>
        </w:rPr>
        <w:t>б</w:t>
      </w:r>
      <w:r w:rsidRPr="000C059F">
        <w:rPr>
          <w:rFonts w:ascii="Times New Roman" w:hAnsi="Times New Roman"/>
          <w:color w:val="000000"/>
          <w:sz w:val="28"/>
          <w:szCs w:val="28"/>
        </w:rPr>
        <w:t>щество, но мы единый народ. Это делает нашу страну сложной и мног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мерной. Дает колоссальные возможности для развития во многих обла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тях».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Источник: Владимир Путин. Россия: национальный вопрос // Независ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мая газета. 23.01.2012. [Электронный ресурс]. URL: http://www.ng.ru/politics/2012-01- 23/1_national.html</w:t>
      </w:r>
    </w:p>
    <w:p w:rsid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Вопросы: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В чем видит В.В. Путин одну из главных особенностей России?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 Вашей точки зрения, какие преимущества эта специфика дает?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Задание 4. В опасность тезиса «Россия для русских» и почему?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Задание 5. В школьной столовой мальчик из мусульманской семьи отк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зывается убрать за собой поднос, хотя все дети из класса делают это. Он объясняет свое нежелание убеждением, что мужчина не должен выпо</w:t>
      </w:r>
      <w:r w:rsidRPr="000C059F">
        <w:rPr>
          <w:rFonts w:ascii="Times New Roman" w:hAnsi="Times New Roman"/>
          <w:color w:val="000000"/>
          <w:sz w:val="28"/>
          <w:szCs w:val="28"/>
        </w:rPr>
        <w:t>л</w:t>
      </w:r>
      <w:r w:rsidRPr="000C059F">
        <w:rPr>
          <w:rFonts w:ascii="Times New Roman" w:hAnsi="Times New Roman"/>
          <w:color w:val="000000"/>
          <w:sz w:val="28"/>
          <w:szCs w:val="28"/>
        </w:rPr>
        <w:t>нять «женскую» работу. Как выйти из этой ситуации?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1. Теоретико-методологические основы управления межнационал</w:t>
      </w:r>
      <w:r w:rsidRPr="000C059F">
        <w:rPr>
          <w:rFonts w:ascii="Times New Roman" w:hAnsi="Times New Roman"/>
          <w:color w:val="000000"/>
          <w:sz w:val="28"/>
          <w:szCs w:val="28"/>
        </w:rPr>
        <w:t>ь</w:t>
      </w:r>
      <w:r w:rsidRPr="000C059F">
        <w:rPr>
          <w:rFonts w:ascii="Times New Roman" w:hAnsi="Times New Roman"/>
          <w:color w:val="000000"/>
          <w:sz w:val="28"/>
          <w:szCs w:val="28"/>
        </w:rPr>
        <w:t>ными отношениями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Теории этноса и этничности.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Понятия «этнос», «нация», «национальность», «народность».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Этнические традиции: сущность и функции.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Этноидентификация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: сущность и функции.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 xml:space="preserve">Сущность и модели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этнополитики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2. Управление межнациональными отношениями в современном мире, Российской Федерац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ии и ее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субъектах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Управление межнациональными отношениями в Российской имп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рии.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Этнонационализм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как социальная проблема.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 xml:space="preserve">Исторический опыт решения проблемы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этнонационализма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Этнонациональный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вопрос в современном государстве.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Национализм как доктрина.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3. Разрешение и урегулирование межэтнических конфликтов С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Понятие «межэтнический конфликт». Формы межэтнических ко</w:t>
      </w:r>
      <w:r w:rsidRPr="000C059F">
        <w:rPr>
          <w:rFonts w:ascii="Times New Roman" w:hAnsi="Times New Roman"/>
          <w:color w:val="000000"/>
          <w:sz w:val="28"/>
          <w:szCs w:val="28"/>
        </w:rPr>
        <w:t>н</w:t>
      </w:r>
      <w:r w:rsidRPr="000C059F">
        <w:rPr>
          <w:rFonts w:ascii="Times New Roman" w:hAnsi="Times New Roman"/>
          <w:color w:val="000000"/>
          <w:sz w:val="28"/>
          <w:szCs w:val="28"/>
        </w:rPr>
        <w:t>фликтов.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Пути урегулирования межэтнических конфликтов. Основные мод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ли разрешения межэтнических конфликтов.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Пути снижения остроты этнических конфликтов. Национальная п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 xml:space="preserve">литика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гос</w:t>
      </w:r>
      <w:proofErr w:type="gramStart"/>
      <w:r w:rsidRPr="000C059F">
        <w:rPr>
          <w:rFonts w:ascii="Times New Roman" w:hAnsi="Times New Roman"/>
          <w:color w:val="000000"/>
          <w:sz w:val="28"/>
          <w:szCs w:val="28"/>
        </w:rPr>
        <w:t>у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0C059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дарства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>. Применение правовых механизмов, переговоры, информационный путь.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Роль СМИ в межэтнических конфликтах.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4. Основные характеристики государственно-конфессиональных о</w:t>
      </w:r>
      <w:r w:rsidRPr="000C059F">
        <w:rPr>
          <w:rFonts w:ascii="Times New Roman" w:hAnsi="Times New Roman"/>
          <w:color w:val="000000"/>
          <w:sz w:val="28"/>
          <w:szCs w:val="28"/>
        </w:rPr>
        <w:t>т</w:t>
      </w:r>
      <w:r w:rsidRPr="000C059F">
        <w:rPr>
          <w:rFonts w:ascii="Times New Roman" w:hAnsi="Times New Roman"/>
          <w:color w:val="000000"/>
          <w:sz w:val="28"/>
          <w:szCs w:val="28"/>
        </w:rPr>
        <w:t>ношений в России и в мире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Понятие «государственно-конфессиональные отношения». Типол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гия государств по моделям государственно-конфессиональных отнош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Государственно-конфессиональные отношения в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Принципы государственно-конфессиональных отношений.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Теократическое государство.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Светское государство: основные характеристики и особенности.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5. Законодательство РФ о свободе совести и религиозных объедин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ниях 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Понятия «религиозное объединение» и «религиозная группа».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Общая характеристика законодательства о свободе совести и рел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гиозных объединениях. Нормы, обеспечивающие равноправие граждан независимо от их отношения к религии.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Конституция РФ о свободе совести и свободе вероисповедания. Ключевые положения Конституции РФ в области свободы мысли, слова, объединения.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Сравнительный анализ правовых норм в области свободы совести в советском законодательстве и в Конституции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Федеральный закон «О свободе совести и о религиозных объедин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ниях» от 26.09.1997 № 125-ФЗ: общая характеристика, состав, ключевые категории.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6.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Проблема категориального аппарата законодательства о свободе совести (религия; вероисповедание; совершение богослужений, других религиозных обрядов и церемоний; обучение религии и религиозное во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питание своих последователей).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>7.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Изменения, внесенные в Федеральный закон «О свободе совести и о религиозных объединениях» в 2015-2016 гг.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8.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Федеральный закон «Об объектах культурного наследия (памятн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ках истории и культуры) народов Российской Федерации» от 25.06.2002 г. № 73-ФЗ: общая характеристика, состав, ключевые категории.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9.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Уголовно-правовое и административное регулирование сферы р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лигиозной свободы в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10.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Региональные особенности законодательства субъектов РФ о св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боде совести и религиозных объединениях.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Акты органов местного самоуправления в области свободы совести и религиозных объединений.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6. Теория и практика религиоведческой экспертизы 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Понятие «религиоведческая экспертиза». Теоретико-правовой ан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лиз государственной религиоведческой экспертизы: принципы, цель и з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дачи, предмет.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Экспертный совет по проведению государственной религиоведч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ской экспертизы при Министерстве юстиции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Основная деятельность экспертного совета по проведению госуда</w:t>
      </w:r>
      <w:r w:rsidRPr="000C059F">
        <w:rPr>
          <w:rFonts w:ascii="Times New Roman" w:hAnsi="Times New Roman"/>
          <w:color w:val="000000"/>
          <w:sz w:val="28"/>
          <w:szCs w:val="28"/>
        </w:rPr>
        <w:t>р</w:t>
      </w:r>
      <w:r w:rsidRPr="000C059F">
        <w:rPr>
          <w:rFonts w:ascii="Times New Roman" w:hAnsi="Times New Roman"/>
          <w:color w:val="000000"/>
          <w:sz w:val="28"/>
          <w:szCs w:val="28"/>
        </w:rPr>
        <w:t>ственной религиоведческой экспертизы.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Актуальные вопросы совершенствования законодательства о гос</w:t>
      </w:r>
      <w:r w:rsidRPr="000C059F">
        <w:rPr>
          <w:rFonts w:ascii="Times New Roman" w:hAnsi="Times New Roman"/>
          <w:color w:val="000000"/>
          <w:sz w:val="28"/>
          <w:szCs w:val="28"/>
        </w:rPr>
        <w:t>у</w:t>
      </w:r>
      <w:r w:rsidRPr="000C059F">
        <w:rPr>
          <w:rFonts w:ascii="Times New Roman" w:hAnsi="Times New Roman"/>
          <w:color w:val="000000"/>
          <w:sz w:val="28"/>
          <w:szCs w:val="28"/>
        </w:rPr>
        <w:t>дарственной религиоведческой экспертизе. Этические аспекты религи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ведческой экспертизы.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Практический опыт проведения религиоведческой экспертизы в РФ по материалам, связанным с религиозным экстремизмом, возбуждением ненависти и вражды на религиозной почве, с оскорблением чувств в</w:t>
      </w:r>
      <w:r w:rsidRPr="000C059F">
        <w:rPr>
          <w:rFonts w:ascii="Times New Roman" w:hAnsi="Times New Roman"/>
          <w:color w:val="000000"/>
          <w:sz w:val="28"/>
          <w:szCs w:val="28"/>
        </w:rPr>
        <w:t>е</w:t>
      </w:r>
      <w:r w:rsidRPr="000C059F">
        <w:rPr>
          <w:rFonts w:ascii="Times New Roman" w:hAnsi="Times New Roman"/>
          <w:color w:val="000000"/>
          <w:sz w:val="28"/>
          <w:szCs w:val="28"/>
        </w:rPr>
        <w:t>рующих, с защитой прав и свобод граждан в области свободы совести.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Тема 7. Особенности функционирования религиозных организаций в РФ и в ее субъектах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Виды религиозных организаций в РФ.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Церковь как религиозная организация, особенности функционир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вания в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Мусульманские религиозные организации в современной России.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lastRenderedPageBreak/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Благотворительная деятельность религиозных организаций в Ро</w:t>
      </w:r>
      <w:r w:rsidRPr="000C059F">
        <w:rPr>
          <w:rFonts w:ascii="Times New Roman" w:hAnsi="Times New Roman"/>
          <w:color w:val="000000"/>
          <w:sz w:val="28"/>
          <w:szCs w:val="28"/>
        </w:rPr>
        <w:t>с</w:t>
      </w:r>
      <w:r w:rsidRPr="000C059F">
        <w:rPr>
          <w:rFonts w:ascii="Times New Roman" w:hAnsi="Times New Roman"/>
          <w:color w:val="000000"/>
          <w:sz w:val="28"/>
          <w:szCs w:val="28"/>
        </w:rPr>
        <w:t>сии.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 xml:space="preserve">Тема 8.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Этнорелигиозный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экстремизм как фактор осложнения межэтн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ческих и межрелигиозных отношений. Профилактика экстремизма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Содержание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1.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Понятия «экстремизм», «ксенофобия», «национализм». Национ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лизм и экстремизм в современном мире.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2.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 xml:space="preserve">Современные проявления экстремизма в сфере межэтнических и межконфессиональных отношений (ситуация в России и за рубежом). Причины роста </w:t>
      </w:r>
      <w:proofErr w:type="spellStart"/>
      <w:r w:rsidRPr="000C059F">
        <w:rPr>
          <w:rFonts w:ascii="Times New Roman" w:hAnsi="Times New Roman"/>
          <w:color w:val="000000"/>
          <w:sz w:val="28"/>
          <w:szCs w:val="28"/>
        </w:rPr>
        <w:t>этнорелигиозного</w:t>
      </w:r>
      <w:proofErr w:type="spellEnd"/>
      <w:r w:rsidRPr="000C059F">
        <w:rPr>
          <w:rFonts w:ascii="Times New Roman" w:hAnsi="Times New Roman"/>
          <w:color w:val="000000"/>
          <w:sz w:val="28"/>
          <w:szCs w:val="28"/>
        </w:rPr>
        <w:t xml:space="preserve"> экстремизма в современных условиях.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3.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Национализм как дестабилизирующий фактор межэтнических и межрелигиозных отношений.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4.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Ультраправая националистическая идеология и деятельность в с</w:t>
      </w:r>
      <w:r w:rsidRPr="000C059F">
        <w:rPr>
          <w:rFonts w:ascii="Times New Roman" w:hAnsi="Times New Roman"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color w:val="000000"/>
          <w:sz w:val="28"/>
          <w:szCs w:val="28"/>
        </w:rPr>
        <w:t>временном мире. Ультраправые, неофашистские и неонацистские орган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зации и движения в современном мире, их опасность для современного общества.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5.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Роль религиозного образования в профилактике экстремизма и р</w:t>
      </w:r>
      <w:r w:rsidRPr="000C059F">
        <w:rPr>
          <w:rFonts w:ascii="Times New Roman" w:hAnsi="Times New Roman"/>
          <w:color w:val="000000"/>
          <w:sz w:val="28"/>
          <w:szCs w:val="28"/>
        </w:rPr>
        <w:t>а</w:t>
      </w:r>
      <w:r w:rsidRPr="000C059F">
        <w:rPr>
          <w:rFonts w:ascii="Times New Roman" w:hAnsi="Times New Roman"/>
          <w:color w:val="000000"/>
          <w:sz w:val="28"/>
          <w:szCs w:val="28"/>
        </w:rPr>
        <w:t>дикализма.</w:t>
      </w:r>
    </w:p>
    <w:p w:rsidR="000C059F" w:rsidRPr="000C059F" w:rsidRDefault="000C059F" w:rsidP="000C059F">
      <w:pPr>
        <w:pStyle w:val="a3"/>
        <w:spacing w:line="312" w:lineRule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6.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Деятельность правоохранительных органов по профилактике рел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гиозного экстремизма в социальных сетях.</w:t>
      </w:r>
    </w:p>
    <w:p w:rsidR="000C059F" w:rsidRDefault="000C059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0C059F">
        <w:rPr>
          <w:rFonts w:ascii="Times New Roman" w:hAnsi="Times New Roman"/>
          <w:color w:val="000000"/>
          <w:sz w:val="28"/>
          <w:szCs w:val="28"/>
        </w:rPr>
        <w:t>7.</w:t>
      </w:r>
      <w:r w:rsidRPr="000C059F">
        <w:rPr>
          <w:rFonts w:ascii="Times New Roman" w:hAnsi="Times New Roman"/>
          <w:color w:val="000000"/>
          <w:sz w:val="28"/>
          <w:szCs w:val="28"/>
        </w:rPr>
        <w:tab/>
        <w:t>Работа с молодежью по профилактике религиозного экстремизма и рад</w:t>
      </w:r>
      <w:r w:rsidRPr="000C059F">
        <w:rPr>
          <w:rFonts w:ascii="Times New Roman" w:hAnsi="Times New Roman"/>
          <w:color w:val="000000"/>
          <w:sz w:val="28"/>
          <w:szCs w:val="28"/>
        </w:rPr>
        <w:t>и</w:t>
      </w:r>
      <w:r w:rsidRPr="000C059F">
        <w:rPr>
          <w:rFonts w:ascii="Times New Roman" w:hAnsi="Times New Roman"/>
          <w:color w:val="000000"/>
          <w:sz w:val="28"/>
          <w:szCs w:val="28"/>
        </w:rPr>
        <w:t>кализма</w:t>
      </w:r>
      <w:r w:rsidRPr="000C059F">
        <w:rPr>
          <w:rFonts w:ascii="Times New Roman" w:hAnsi="Times New Roman"/>
          <w:color w:val="000000"/>
          <w:sz w:val="24"/>
          <w:szCs w:val="24"/>
        </w:rPr>
        <w:t>.</w:t>
      </w: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863ABF" w:rsidRDefault="00863ABF" w:rsidP="000C059F">
      <w:pPr>
        <w:pStyle w:val="a3"/>
        <w:spacing w:line="312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p w:rsidR="00051418" w:rsidRDefault="00B1215E" w:rsidP="000C059F">
      <w:pPr>
        <w:pStyle w:val="a3"/>
        <w:spacing w:line="312" w:lineRule="auto"/>
        <w:ind w:lef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комендаций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lastRenderedPageBreak/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364A39" w:rsidRDefault="00364A39" w:rsidP="00364A39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Основы государственной политики в сфере межэтнических и межконфесси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нальных отношений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364A39" w:rsidRDefault="00364A39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Pr="003D0CBE" w:rsidRDefault="00051418">
      <w:pPr>
        <w:spacing w:line="240" w:lineRule="auto"/>
        <w:rPr>
          <w:rFonts w:ascii="Times New Roman" w:hAnsi="Times New Roman"/>
        </w:rPr>
      </w:pPr>
    </w:p>
    <w:tbl>
      <w:tblPr>
        <w:tblW w:w="14786" w:type="dxa"/>
        <w:jc w:val="right"/>
        <w:tblLook w:val="01E0"/>
      </w:tblPr>
      <w:tblGrid>
        <w:gridCol w:w="1747"/>
        <w:gridCol w:w="2068"/>
        <w:gridCol w:w="2698"/>
        <w:gridCol w:w="1661"/>
        <w:gridCol w:w="5066"/>
        <w:gridCol w:w="1810"/>
      </w:tblGrid>
      <w:tr w:rsidR="00051418" w:rsidRPr="003D0CBE" w:rsidTr="003D0CBE">
        <w:trPr>
          <w:cantSplit/>
          <w:trHeight w:val="98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Автор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Доступность</w:t>
            </w:r>
          </w:p>
        </w:tc>
      </w:tr>
      <w:tr w:rsidR="000C059F" w:rsidRPr="003D0CBE" w:rsidTr="003D0CBE">
        <w:trPr>
          <w:trHeight w:val="1605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 w:rsidRPr="003D0CBE">
              <w:rPr>
                <w:rFonts w:ascii="Times New Roman" w:eastAsia="Times New Roman" w:hAnsi="Times New Roman"/>
              </w:rPr>
              <w:t>Михальченк</w:t>
            </w:r>
            <w:r w:rsidRPr="003D0CBE">
              <w:rPr>
                <w:rFonts w:ascii="Times New Roman" w:eastAsia="Times New Roman" w:hAnsi="Times New Roman"/>
              </w:rPr>
              <w:t>о</w:t>
            </w:r>
            <w:r w:rsidRPr="003D0CBE">
              <w:rPr>
                <w:rFonts w:ascii="Times New Roman" w:eastAsia="Times New Roman" w:hAnsi="Times New Roman"/>
              </w:rPr>
              <w:t>ва</w:t>
            </w:r>
            <w:proofErr w:type="spellEnd"/>
            <w:r w:rsidRPr="003D0CBE"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СМИ и межнациональные отношения в с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временной России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 w:rsidP="000C059F">
            <w:pPr>
              <w:ind w:right="-455"/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proofErr w:type="spellStart"/>
            <w:r w:rsidRPr="003D0CBE">
              <w:rPr>
                <w:rFonts w:ascii="Times New Roman" w:hAnsi="Times New Roman"/>
              </w:rPr>
              <w:t>Ма</w:t>
            </w:r>
            <w:r w:rsidRPr="003D0CBE">
              <w:rPr>
                <w:rFonts w:ascii="Times New Roman" w:hAnsi="Times New Roman"/>
              </w:rPr>
              <w:t>с</w:t>
            </w:r>
            <w:r w:rsidRPr="003D0CBE">
              <w:rPr>
                <w:rFonts w:ascii="Times New Roman" w:hAnsi="Times New Roman"/>
              </w:rPr>
              <w:t>люковская</w:t>
            </w:r>
            <w:proofErr w:type="spellEnd"/>
            <w:r w:rsidRPr="003D0CBE">
              <w:rPr>
                <w:rFonts w:ascii="Times New Roman" w:hAnsi="Times New Roman"/>
              </w:rPr>
              <w:t>, Н.Д.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>
            <w:pPr>
              <w:rPr>
                <w:rFonts w:ascii="Times New Roman" w:eastAsia="Times New Roman" w:hAnsi="Times New Roman"/>
                <w:color w:val="000000"/>
              </w:rPr>
            </w:pPr>
            <w:r w:rsidRPr="003D0CBE">
              <w:rPr>
                <w:rFonts w:ascii="Times New Roman" w:eastAsia="Times New Roman" w:hAnsi="Times New Roman"/>
                <w:color w:val="000000"/>
              </w:rPr>
              <w:t>http://biblioclub.ru/index.php?page=book&amp;id=142321</w:t>
            </w:r>
            <w:r w:rsidRPr="003D0CBE">
              <w:rPr>
                <w:rFonts w:ascii="Times New Roman" w:eastAsia="Times New Roman" w:hAnsi="Times New Roman"/>
                <w:color w:val="000000"/>
              </w:rPr>
              <w:tab/>
              <w:t xml:space="preserve">Н.Д. </w:t>
            </w:r>
            <w:proofErr w:type="spellStart"/>
            <w:r w:rsidRPr="003D0CBE">
              <w:rPr>
                <w:rFonts w:ascii="Times New Roman" w:eastAsia="Times New Roman" w:hAnsi="Times New Roman"/>
                <w:color w:val="000000"/>
              </w:rPr>
              <w:t>Маслюковская</w:t>
            </w:r>
            <w:proofErr w:type="spellEnd"/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3D0CBE" w:rsidRDefault="000C059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 w:rsidRPr="003D0CBE"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C059F" w:rsidRPr="003D0CBE" w:rsidTr="003D0CBE">
        <w:trPr>
          <w:trHeight w:val="431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 w:rsidRPr="003D0CBE">
              <w:rPr>
                <w:rFonts w:ascii="Times New Roman" w:eastAsia="Times New Roman" w:hAnsi="Times New Roman"/>
              </w:rPr>
              <w:t>Мардахаев</w:t>
            </w:r>
            <w:proofErr w:type="spellEnd"/>
            <w:r w:rsidRPr="003D0CBE"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3D0CBE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СМИ и межнациональные отношения в с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временной России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BIBLIOCLUB\0000142321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978-5-504-00384-9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C059F" w:rsidRPr="003D0CBE" w:rsidRDefault="000C059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 w:rsidRPr="003D0CBE"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eastAsia="Times New Roman" w:hAnsi="Times New Roman"/>
              </w:rPr>
              <w:t>.п</w:t>
            </w:r>
            <w:proofErr w:type="gramEnd"/>
            <w:r w:rsidRPr="003D0CBE"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0C059F" w:rsidRPr="003D0CBE" w:rsidTr="003D0CBE">
        <w:trPr>
          <w:trHeight w:val="1779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 w:rsidRPr="003D0CBE">
              <w:rPr>
                <w:rFonts w:ascii="Times New Roman" w:eastAsia="Times New Roman" w:hAnsi="Times New Roman"/>
              </w:rPr>
              <w:t>Гилинский</w:t>
            </w:r>
            <w:proofErr w:type="spellEnd"/>
            <w:r w:rsidRPr="003D0CBE"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3D0CBE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Межнаци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нальные отнош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t>ния и конфликты в России и за руб</w:t>
            </w:r>
            <w:r w:rsidRPr="003D0CBE">
              <w:rPr>
                <w:rFonts w:ascii="Times New Roman" w:hAnsi="Times New Roman"/>
              </w:rPr>
              <w:t>е</w:t>
            </w:r>
            <w:r w:rsidRPr="003D0CBE">
              <w:rPr>
                <w:rFonts w:ascii="Times New Roman" w:hAnsi="Times New Roman"/>
              </w:rPr>
              <w:t>жом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BIBLIOCLUB\0000428512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978-5-4475-5217-6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59F" w:rsidRPr="003D0CBE" w:rsidRDefault="000C059F" w:rsidP="000C059F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C059F" w:rsidRPr="003D0CBE" w:rsidRDefault="000C059F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 w:rsidRPr="003D0CBE"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eastAsia="Times New Roman" w:hAnsi="Times New Roman"/>
              </w:rPr>
              <w:t>.п</w:t>
            </w:r>
            <w:proofErr w:type="gramEnd"/>
            <w:r w:rsidRPr="003D0CBE"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3D0CBE" w:rsidRPr="003D0CBE" w:rsidTr="003D0CBE">
        <w:trPr>
          <w:trHeight w:val="408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CBE" w:rsidRPr="003D0CBE" w:rsidRDefault="003D0CBE" w:rsidP="003D0CBE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Васил</w:t>
            </w:r>
            <w:r w:rsidRPr="003D0CBE">
              <w:rPr>
                <w:rFonts w:ascii="Times New Roman" w:hAnsi="Times New Roman"/>
              </w:rPr>
              <w:t>ь</w:t>
            </w:r>
            <w:r w:rsidRPr="003D0CBE">
              <w:rPr>
                <w:rFonts w:ascii="Times New Roman" w:hAnsi="Times New Roman"/>
              </w:rPr>
              <w:t xml:space="preserve">ева, В. М. для вузов / В. М. Васильева, Е. А. </w:t>
            </w:r>
            <w:proofErr w:type="spellStart"/>
            <w:r w:rsidRPr="003D0CBE">
              <w:rPr>
                <w:rFonts w:ascii="Times New Roman" w:hAnsi="Times New Roman"/>
              </w:rPr>
              <w:t>Колеснева</w:t>
            </w:r>
            <w:proofErr w:type="spellEnd"/>
            <w:r w:rsidRPr="003D0CBE">
              <w:rPr>
                <w:rFonts w:ascii="Times New Roman" w:hAnsi="Times New Roman"/>
              </w:rPr>
              <w:t>, И. А. Иншаков. — Москва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И</w:t>
            </w:r>
            <w:r w:rsidRPr="003D0CBE">
              <w:rPr>
                <w:rFonts w:ascii="Times New Roman" w:hAnsi="Times New Roman"/>
              </w:rPr>
              <w:t>з</w:t>
            </w:r>
            <w:r w:rsidRPr="003D0CBE">
              <w:rPr>
                <w:rFonts w:ascii="Times New Roman" w:hAnsi="Times New Roman"/>
              </w:rPr>
              <w:t xml:space="preserve">дательство </w:t>
            </w:r>
            <w:proofErr w:type="spellStart"/>
            <w:r w:rsidRPr="003D0CBE">
              <w:rPr>
                <w:rFonts w:ascii="Times New Roman" w:hAnsi="Times New Roman"/>
              </w:rPr>
              <w:t>Юрайт</w:t>
            </w:r>
            <w:proofErr w:type="spellEnd"/>
            <w:r w:rsidRPr="003D0CBE">
              <w:rPr>
                <w:rFonts w:ascii="Times New Roman" w:hAnsi="Times New Roman"/>
              </w:rPr>
              <w:t>, 2024. — 441 с. — (Вы</w:t>
            </w:r>
            <w:r w:rsidRPr="003D0CBE">
              <w:rPr>
                <w:rFonts w:ascii="Times New Roman" w:hAnsi="Times New Roman"/>
              </w:rPr>
              <w:t>с</w:t>
            </w:r>
            <w:r w:rsidRPr="003D0CBE">
              <w:rPr>
                <w:rFonts w:ascii="Times New Roman" w:hAnsi="Times New Roman"/>
              </w:rPr>
              <w:t>шее образов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>ние). — ISBN 978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CBE" w:rsidRPr="003D0CBE" w:rsidRDefault="003D0CBE" w:rsidP="0090553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Государс</w:t>
            </w:r>
            <w:r w:rsidRPr="003D0CBE">
              <w:rPr>
                <w:rFonts w:ascii="Times New Roman" w:hAnsi="Times New Roman"/>
              </w:rPr>
              <w:t>т</w:t>
            </w:r>
            <w:r w:rsidRPr="003D0CBE">
              <w:rPr>
                <w:rFonts w:ascii="Times New Roman" w:hAnsi="Times New Roman"/>
              </w:rPr>
              <w:t>венная политика и управление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уче</w:t>
            </w:r>
            <w:r w:rsidRPr="003D0CBE">
              <w:rPr>
                <w:rFonts w:ascii="Times New Roman" w:hAnsi="Times New Roman"/>
              </w:rPr>
              <w:t>б</w:t>
            </w:r>
            <w:r w:rsidRPr="003D0CBE">
              <w:rPr>
                <w:rFonts w:ascii="Times New Roman" w:hAnsi="Times New Roman"/>
              </w:rPr>
              <w:t>ник и практикум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CBE" w:rsidRPr="003D0CBE" w:rsidRDefault="003D0CBE" w:rsidP="00905534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53404621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CBE" w:rsidRDefault="003D0CBE" w:rsidP="003D0CBE">
            <w:pPr>
              <w:rPr>
                <w:rFonts w:ascii="Times New Roman" w:hAnsi="Times New Roman"/>
              </w:rPr>
            </w:pPr>
            <w:r w:rsidRPr="003D0CBE">
              <w:rPr>
                <w:rFonts w:ascii="Times New Roman" w:hAnsi="Times New Roman"/>
              </w:rPr>
              <w:t>— М</w:t>
            </w:r>
            <w:r w:rsidRPr="003D0CBE">
              <w:rPr>
                <w:rFonts w:ascii="Times New Roman" w:hAnsi="Times New Roman"/>
              </w:rPr>
              <w:t>о</w:t>
            </w:r>
            <w:r w:rsidRPr="003D0CBE">
              <w:rPr>
                <w:rFonts w:ascii="Times New Roman" w:hAnsi="Times New Roman"/>
              </w:rPr>
              <w:t>сква</w:t>
            </w:r>
            <w:proofErr w:type="gramStart"/>
            <w:r w:rsidRPr="003D0CBE">
              <w:rPr>
                <w:rFonts w:ascii="Times New Roman" w:hAnsi="Times New Roman"/>
              </w:rPr>
              <w:t xml:space="preserve"> :</w:t>
            </w:r>
            <w:proofErr w:type="gramEnd"/>
            <w:r w:rsidRPr="003D0CBE">
              <w:rPr>
                <w:rFonts w:ascii="Times New Roman" w:hAnsi="Times New Roman"/>
              </w:rPr>
              <w:t xml:space="preserve"> Изд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 xml:space="preserve">тельство </w:t>
            </w:r>
            <w:proofErr w:type="spellStart"/>
            <w:r w:rsidRPr="003D0CBE">
              <w:rPr>
                <w:rFonts w:ascii="Times New Roman" w:hAnsi="Times New Roman"/>
              </w:rPr>
              <w:t>Юрайт</w:t>
            </w:r>
            <w:proofErr w:type="spellEnd"/>
            <w:r w:rsidRPr="003D0CBE">
              <w:rPr>
                <w:rFonts w:ascii="Times New Roman" w:hAnsi="Times New Roman"/>
              </w:rPr>
              <w:t>, 2024. — 441 с. — (Высшее обр</w:t>
            </w:r>
            <w:r w:rsidRPr="003D0CBE">
              <w:rPr>
                <w:rFonts w:ascii="Times New Roman" w:hAnsi="Times New Roman"/>
              </w:rPr>
              <w:t>а</w:t>
            </w:r>
            <w:r w:rsidRPr="003D0CBE">
              <w:rPr>
                <w:rFonts w:ascii="Times New Roman" w:hAnsi="Times New Roman"/>
              </w:rPr>
              <w:t>зование). — ISBN 978</w:t>
            </w:r>
          </w:p>
          <w:p w:rsidR="003D0CBE" w:rsidRPr="003D0CBE" w:rsidRDefault="003D0CBE" w:rsidP="00905534">
            <w:pPr>
              <w:rPr>
                <w:rFonts w:ascii="Times New Roman" w:hAnsi="Times New Roman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CBE" w:rsidRPr="003D0CBE" w:rsidRDefault="003D0CBE" w:rsidP="00905534">
            <w:pPr>
              <w:rPr>
                <w:rFonts w:ascii="Times New Roman" w:hAnsi="Times New Roman"/>
                <w:lang w:val="en-US"/>
              </w:rPr>
            </w:pPr>
            <w:r w:rsidRPr="003D0CBE">
              <w:rPr>
                <w:rFonts w:ascii="Times New Roman" w:hAnsi="Times New Roman"/>
                <w:lang w:val="en-US"/>
              </w:rPr>
              <w:t>2. — 36/36 25 URL: https://urait.r u/</w:t>
            </w:r>
            <w:proofErr w:type="spellStart"/>
            <w:r w:rsidRPr="003D0CBE">
              <w:rPr>
                <w:rFonts w:ascii="Times New Roman" w:hAnsi="Times New Roman"/>
                <w:lang w:val="en-US"/>
              </w:rPr>
              <w:t>bcode</w:t>
            </w:r>
            <w:proofErr w:type="spellEnd"/>
            <w:r w:rsidRPr="003D0CBE">
              <w:rPr>
                <w:rFonts w:ascii="Times New Roman" w:hAnsi="Times New Roman"/>
                <w:lang w:val="en-US"/>
              </w:rPr>
              <w:t>/537 538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3D0CBE" w:rsidRPr="003D0CBE" w:rsidRDefault="003D0CB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 w:rsidRPr="003D0CBE"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 w:rsidRPr="003D0CBE">
              <w:rPr>
                <w:rFonts w:ascii="Times New Roman" w:eastAsia="Times New Roman" w:hAnsi="Times New Roman"/>
              </w:rPr>
              <w:t>.п</w:t>
            </w:r>
            <w:proofErr w:type="gramEnd"/>
            <w:r w:rsidRPr="003D0CBE"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0C059F" w:rsidTr="003D0CBE">
        <w:trPr>
          <w:trHeight w:val="30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Default="000C059F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C059F" w:rsidRDefault="000C059F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885210" w:rsidRDefault="000C059F" w:rsidP="000C059F">
            <w:r w:rsidRPr="00885210">
              <w:t>Л</w:t>
            </w:r>
            <w:proofErr w:type="gramStart"/>
            <w:r w:rsidRPr="00885210">
              <w:t>1</w:t>
            </w:r>
            <w:proofErr w:type="gramEnd"/>
            <w:r w:rsidRPr="00885210">
              <w:t>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885210" w:rsidRDefault="000C059F" w:rsidP="000C059F">
            <w:r w:rsidRPr="00885210">
              <w:t>BIBLIOCLUB\0000142321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885210" w:rsidRDefault="000C059F" w:rsidP="000C059F">
            <w:r w:rsidRPr="00885210">
              <w:t>978-5-504-00384-9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Pr="00885210" w:rsidRDefault="000C059F" w:rsidP="000C059F">
            <w:r w:rsidRPr="00885210">
              <w:t>СМИ и межнациональные отношения в с</w:t>
            </w:r>
            <w:r w:rsidRPr="00885210">
              <w:t>о</w:t>
            </w:r>
            <w:r w:rsidRPr="00885210">
              <w:t>временной России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9F" w:rsidRDefault="000C05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eastAsia="Times New Roman" w:hAnsi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051418" w:rsidTr="003D0CBE">
        <w:trPr>
          <w:trHeight w:val="412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3D0CB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lastRenderedPageBreak/>
              <w:t>Матис</w:t>
            </w:r>
            <w:proofErr w:type="spellEnd"/>
            <w:r>
              <w:t>, В. И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3D0CB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t>. Педагогика ме</w:t>
            </w:r>
            <w:r>
              <w:t>ж</w:t>
            </w:r>
            <w:r>
              <w:t xml:space="preserve">национального общения: учебник для вузов / В. И. </w:t>
            </w:r>
            <w:proofErr w:type="spellStart"/>
            <w:r>
              <w:t>Матис</w:t>
            </w:r>
            <w:proofErr w:type="spellEnd"/>
            <w:r>
              <w:t xml:space="preserve">. — 2-е изд., </w:t>
            </w:r>
            <w:proofErr w:type="spellStart"/>
            <w:r>
              <w:t>испр</w:t>
            </w:r>
            <w:proofErr w:type="spellEnd"/>
            <w:r>
              <w:t>. и доп. — М</w:t>
            </w:r>
            <w:r>
              <w:t>о</w:t>
            </w:r>
            <w:r>
              <w:t xml:space="preserve">сква: Издательство </w:t>
            </w:r>
            <w:proofErr w:type="spellStart"/>
            <w:r>
              <w:t>Юрайт</w:t>
            </w:r>
            <w:proofErr w:type="spellEnd"/>
            <w:r>
              <w:t xml:space="preserve">, 2024. — 343 с. — (Высшее образование). — ISBN 978-5-534-13121-5. — Текст: электронный // Образовательная платформа </w:t>
            </w:r>
            <w:proofErr w:type="spellStart"/>
            <w:r>
              <w:t>Юрайт</w:t>
            </w:r>
            <w:proofErr w:type="spellEnd"/>
            <w:r>
              <w:t xml:space="preserve"> [сайт].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Pr="003D0CBE" w:rsidRDefault="003D0CB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lang w:val="en-US"/>
              </w:rPr>
            </w:pPr>
            <w:r w:rsidRPr="003D0CBE">
              <w:rPr>
                <w:lang w:val="en-US"/>
              </w:rPr>
              <w:t>URL: https://urait.r u/</w:t>
            </w:r>
            <w:proofErr w:type="spellStart"/>
            <w:r w:rsidRPr="003D0CBE">
              <w:rPr>
                <w:lang w:val="en-US"/>
              </w:rPr>
              <w:t>bcode</w:t>
            </w:r>
            <w:proofErr w:type="spellEnd"/>
            <w:r w:rsidRPr="003D0CBE">
              <w:rPr>
                <w:lang w:val="en-US"/>
              </w:rPr>
              <w:t>/543 318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eastAsia="Times New Roman" w:hAnsi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</w:rPr>
              <w:t>ользователя</w:t>
            </w:r>
          </w:p>
        </w:tc>
      </w:tr>
      <w:tr w:rsidR="00051418" w:rsidTr="003D0CBE">
        <w:trPr>
          <w:trHeight w:val="132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3D0CB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>
              <w:t xml:space="preserve"> Е. П. </w:t>
            </w:r>
            <w:proofErr w:type="spellStart"/>
            <w:r>
              <w:t>Борзова</w:t>
            </w:r>
            <w:proofErr w:type="spellEnd"/>
            <w:r>
              <w:t xml:space="preserve">, И. И. Бурдукова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3D0CBE" w:rsidP="003D0CB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>
              <w:t>Борзова</w:t>
            </w:r>
            <w:proofErr w:type="spellEnd"/>
            <w:r>
              <w:t>, Е. П. П</w:t>
            </w:r>
            <w:r>
              <w:t>о</w:t>
            </w:r>
            <w:r>
              <w:t>литические сист</w:t>
            </w:r>
            <w:r>
              <w:t>е</w:t>
            </w:r>
            <w:r>
              <w:t>мы и культуры стран мирового сообщества</w:t>
            </w:r>
            <w:proofErr w:type="gramStart"/>
            <w:r>
              <w:t xml:space="preserve"> :</w:t>
            </w:r>
            <w:proofErr w:type="gramEnd"/>
            <w:r>
              <w:t xml:space="preserve"> уче</w:t>
            </w:r>
            <w:r>
              <w:t>б</w:t>
            </w:r>
            <w:r>
              <w:t xml:space="preserve">ник для вузов  под научной редакцией Е. П. </w:t>
            </w:r>
            <w:proofErr w:type="spellStart"/>
            <w:r>
              <w:t>Борзовой</w:t>
            </w:r>
            <w:proofErr w:type="spellEnd"/>
            <w:r>
              <w:t xml:space="preserve">. — 2-е изд., </w:t>
            </w:r>
            <w:proofErr w:type="spellStart"/>
            <w:r>
              <w:t>перераб</w:t>
            </w:r>
            <w:proofErr w:type="spellEnd"/>
            <w:r>
              <w:t xml:space="preserve">. и доп. — Москва : Издательство </w:t>
            </w:r>
            <w:proofErr w:type="spellStart"/>
            <w:r>
              <w:t>Юрайт</w:t>
            </w:r>
            <w:proofErr w:type="spellEnd"/>
            <w:r>
              <w:t>, 2024. — 579 с. — (Высшее образование). — ISBN 978- 5534-13659-3. — Текст</w:t>
            </w:r>
            <w:proofErr w:type="gramStart"/>
            <w:r>
              <w:t xml:space="preserve"> :</w:t>
            </w:r>
            <w:proofErr w:type="gramEnd"/>
            <w:r>
              <w:t xml:space="preserve"> электронный // Образовательная платформа </w:t>
            </w:r>
            <w:proofErr w:type="spellStart"/>
            <w:r>
              <w:t>Юрайт</w:t>
            </w:r>
            <w:proofErr w:type="spellEnd"/>
            <w:r>
              <w:t xml:space="preserve"> [сайт]</w:t>
            </w:r>
            <w:r w:rsidR="00364A39">
              <w:t xml:space="preserve"> URL: https://urait.r </w:t>
            </w:r>
            <w:proofErr w:type="spellStart"/>
            <w:r w:rsidR="00364A39">
              <w:t>u</w:t>
            </w:r>
            <w:proofErr w:type="spellEnd"/>
            <w:r w:rsidR="00364A39">
              <w:t>/</w:t>
            </w:r>
            <w:proofErr w:type="spellStart"/>
            <w:r w:rsidR="00364A39">
              <w:t>bcode</w:t>
            </w:r>
            <w:proofErr w:type="spellEnd"/>
            <w:r w:rsidR="00364A39">
              <w:t>/539 819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C96763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6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364A39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364A39" w:rsidRDefault="00364A39" w:rsidP="00364A39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Основы государственной политики в сфере межэтнических и межконфесси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0C059F">
        <w:rPr>
          <w:rFonts w:ascii="Times New Roman" w:hAnsi="Times New Roman"/>
          <w:bCs/>
          <w:color w:val="000000"/>
          <w:sz w:val="28"/>
          <w:szCs w:val="28"/>
        </w:rPr>
        <w:t>нальных отношений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8E4E32" w:rsidRDefault="008E4E32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bCs/>
          <w:color w:val="000000"/>
          <w:sz w:val="28"/>
          <w:szCs w:val="28"/>
        </w:rPr>
      </w:pP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364A39">
      <w:pgSz w:w="11906" w:h="16838"/>
      <w:pgMar w:top="1134" w:right="850" w:bottom="1134" w:left="1418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83"/>
  <w:displayHorizontalDrawingGridEvery w:val="2"/>
  <w:characterSpacingControl w:val="doNotCompress"/>
  <w:compat/>
  <w:rsids>
    <w:rsidRoot w:val="00051418"/>
    <w:rsid w:val="00051418"/>
    <w:rsid w:val="000C059F"/>
    <w:rsid w:val="00364A39"/>
    <w:rsid w:val="003D0CBE"/>
    <w:rsid w:val="0063559E"/>
    <w:rsid w:val="00863ABF"/>
    <w:rsid w:val="008E4E32"/>
    <w:rsid w:val="00905534"/>
    <w:rsid w:val="00942AA8"/>
    <w:rsid w:val="009A7DF1"/>
    <w:rsid w:val="00B1215E"/>
    <w:rsid w:val="00B46F84"/>
    <w:rsid w:val="00C96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5005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8</cp:revision>
  <dcterms:created xsi:type="dcterms:W3CDTF">2024-02-21T10:03:00Z</dcterms:created>
  <dcterms:modified xsi:type="dcterms:W3CDTF">2025-08-04T12:33:00Z</dcterms:modified>
</cp:coreProperties>
</file>